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791" w:rsidRDefault="004524D2" w:rsidP="004524D2">
      <w:pPr>
        <w:pStyle w:val="Textosinformato"/>
        <w:tabs>
          <w:tab w:val="left" w:pos="540"/>
          <w:tab w:val="left" w:pos="4500"/>
        </w:tabs>
        <w:jc w:val="both"/>
        <w:rPr>
          <w:rFonts w:ascii="Arial" w:hAnsi="Arial" w:cs="Arial"/>
          <w:b/>
          <w:snapToGrid w:val="0"/>
          <w:sz w:val="28"/>
          <w:szCs w:val="28"/>
          <w:lang w:eastAsia="de-DE"/>
        </w:rPr>
      </w:pPr>
      <w:r>
        <w:rPr>
          <w:rFonts w:ascii="Arial" w:hAnsi="Arial" w:cs="Arial"/>
          <w:b/>
          <w:noProof/>
          <w:sz w:val="28"/>
          <w:szCs w:val="28"/>
          <w:lang w:val="es-CR" w:eastAsia="es-C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4987290</wp:posOffset>
            </wp:positionH>
            <wp:positionV relativeFrom="paragraph">
              <wp:posOffset>-299720</wp:posOffset>
            </wp:positionV>
            <wp:extent cx="563245" cy="600075"/>
            <wp:effectExtent l="19050" t="0" r="8255" b="0"/>
            <wp:wrapNone/>
            <wp:docPr id="3" name="Imagen 3" descr="Logo de Agrial azu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de Agrial azul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524D2">
        <w:rPr>
          <w:rFonts w:ascii="Arial" w:hAnsi="Arial" w:cs="Arial"/>
          <w:b/>
          <w:noProof/>
          <w:snapToGrid w:val="0"/>
          <w:sz w:val="28"/>
          <w:szCs w:val="28"/>
          <w:lang w:val="es-CR" w:eastAsia="es-CR"/>
        </w:rPr>
        <w:drawing>
          <wp:inline distT="0" distB="0" distL="0" distR="0">
            <wp:extent cx="1352550" cy="371475"/>
            <wp:effectExtent l="19050" t="0" r="0" b="0"/>
            <wp:docPr id="1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5310" cy="3722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  <w:r>
        <w:rPr>
          <w:rFonts w:ascii="Arial" w:hAnsi="Arial" w:cs="Arial"/>
          <w:b/>
          <w:snapToGrid w:val="0"/>
          <w:sz w:val="28"/>
          <w:szCs w:val="28"/>
          <w:lang w:eastAsia="de-DE"/>
        </w:rPr>
        <w:tab/>
      </w:r>
    </w:p>
    <w:p w:rsidR="007B29E0" w:rsidRDefault="007B29E0" w:rsidP="00AC0A79">
      <w:pPr>
        <w:pStyle w:val="Textosinformato"/>
        <w:tabs>
          <w:tab w:val="left" w:pos="540"/>
          <w:tab w:val="left" w:pos="4500"/>
        </w:tabs>
        <w:jc w:val="center"/>
        <w:rPr>
          <w:rFonts w:ascii="Arial" w:hAnsi="Arial" w:cs="Arial"/>
          <w:b/>
          <w:snapToGrid w:val="0"/>
          <w:sz w:val="28"/>
          <w:szCs w:val="28"/>
          <w:lang w:eastAsia="de-DE"/>
        </w:rPr>
      </w:pPr>
    </w:p>
    <w:p w:rsidR="006669FB" w:rsidRPr="00281EB5" w:rsidRDefault="006669FB" w:rsidP="00AC0A79">
      <w:pPr>
        <w:pStyle w:val="Textosinformato"/>
        <w:tabs>
          <w:tab w:val="left" w:pos="540"/>
          <w:tab w:val="left" w:pos="4500"/>
        </w:tabs>
        <w:jc w:val="center"/>
        <w:rPr>
          <w:rFonts w:ascii="Arial" w:hAnsi="Arial" w:cs="Arial"/>
          <w:snapToGrid w:val="0"/>
          <w:sz w:val="28"/>
          <w:szCs w:val="28"/>
          <w:lang w:eastAsia="de-DE"/>
        </w:rPr>
      </w:pPr>
      <w:r w:rsidRPr="00281EB5">
        <w:rPr>
          <w:rFonts w:ascii="Arial" w:hAnsi="Arial" w:cs="Arial"/>
          <w:b/>
          <w:snapToGrid w:val="0"/>
          <w:sz w:val="28"/>
          <w:szCs w:val="28"/>
          <w:lang w:eastAsia="de-DE"/>
        </w:rPr>
        <w:t>Hoja de seguridad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Fecha / actualizada el: </w:t>
      </w:r>
      <w:r w:rsidR="00AC0A79">
        <w:rPr>
          <w:rFonts w:ascii="Arial" w:hAnsi="Arial"/>
          <w:snapToGrid w:val="0"/>
          <w:sz w:val="20"/>
          <w:lang w:eastAsia="de-DE"/>
        </w:rPr>
        <w:t>Enero 2007</w:t>
      </w:r>
      <w:r>
        <w:rPr>
          <w:rFonts w:ascii="Arial" w:hAnsi="Arial"/>
          <w:snapToGrid w:val="0"/>
          <w:sz w:val="20"/>
          <w:lang w:eastAsia="de-DE"/>
        </w:rPr>
        <w:tab/>
      </w:r>
      <w:r>
        <w:rPr>
          <w:rFonts w:ascii="Arial" w:hAnsi="Arial"/>
          <w:snapToGrid w:val="0"/>
          <w:sz w:val="20"/>
          <w:lang w:eastAsia="de-DE"/>
        </w:rPr>
        <w:tab/>
        <w:t xml:space="preserve">           (Fecha de impresión: </w:t>
      </w:r>
      <w:r w:rsidR="00AC0A79">
        <w:rPr>
          <w:rFonts w:ascii="Arial" w:hAnsi="Arial"/>
          <w:snapToGrid w:val="0"/>
          <w:sz w:val="20"/>
          <w:lang w:eastAsia="de-DE"/>
        </w:rPr>
        <w:t>Enero 2007</w:t>
      </w:r>
      <w:r>
        <w:rPr>
          <w:rFonts w:ascii="Arial" w:hAnsi="Arial"/>
          <w:snapToGrid w:val="0"/>
          <w:sz w:val="20"/>
          <w:lang w:eastAsia="de-DE"/>
        </w:rPr>
        <w:t>)</w:t>
      </w:r>
    </w:p>
    <w:p w:rsidR="006669FB" w:rsidRDefault="006669FB" w:rsidP="006669FB">
      <w:pPr>
        <w:widowControl w:val="0"/>
        <w:pBdr>
          <w:bottom w:val="single" w:sz="12" w:space="1" w:color="auto"/>
        </w:pBdr>
        <w:rPr>
          <w:rFonts w:ascii="Arial" w:hAnsi="Arial"/>
          <w:b/>
          <w:bCs/>
          <w:snapToGrid w:val="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Producto:</w:t>
      </w:r>
      <w:r>
        <w:rPr>
          <w:rFonts w:ascii="Arial" w:hAnsi="Arial"/>
          <w:snapToGrid w:val="0"/>
          <w:lang w:eastAsia="de-DE"/>
        </w:rPr>
        <w:t xml:space="preserve"> </w:t>
      </w:r>
      <w:r w:rsidR="004C5D93">
        <w:rPr>
          <w:rFonts w:ascii="Arial" w:hAnsi="Arial"/>
          <w:b/>
          <w:bCs/>
          <w:snapToGrid w:val="0"/>
          <w:lang w:eastAsia="de-DE"/>
        </w:rPr>
        <w:t xml:space="preserve">FRUTTORO </w:t>
      </w:r>
      <w:r w:rsidR="00AC0A79">
        <w:rPr>
          <w:rFonts w:ascii="Arial" w:hAnsi="Arial"/>
          <w:b/>
          <w:bCs/>
          <w:snapToGrid w:val="0"/>
          <w:lang w:eastAsia="de-DE"/>
        </w:rPr>
        <w:t xml:space="preserve"> NPK </w:t>
      </w:r>
      <w:r w:rsidR="004C5D93">
        <w:rPr>
          <w:rFonts w:ascii="Arial" w:hAnsi="Arial"/>
          <w:b/>
          <w:bCs/>
          <w:snapToGrid w:val="0"/>
          <w:lang w:eastAsia="de-DE"/>
        </w:rPr>
        <w:t>7-15-20+3 Cao+10 SO + 0,5 Fe + 7,5 C</w:t>
      </w:r>
    </w:p>
    <w:p w:rsidR="007B29E0" w:rsidRDefault="007B29E0" w:rsidP="006669FB">
      <w:pPr>
        <w:widowControl w:val="0"/>
        <w:pBdr>
          <w:bottom w:val="single" w:sz="12" w:space="1" w:color="auto"/>
        </w:pBdr>
        <w:rPr>
          <w:rFonts w:ascii="Arial" w:hAnsi="Arial"/>
          <w:snapToGrid w:val="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 xml:space="preserve">Indicación de </w:t>
      </w:r>
      <w:r w:rsidR="00AC0A79">
        <w:rPr>
          <w:rFonts w:ascii="Arial" w:hAnsi="Arial"/>
          <w:b/>
          <w:snapToGrid w:val="0"/>
          <w:sz w:val="20"/>
          <w:lang w:eastAsia="de-DE"/>
        </w:rPr>
        <w:t>producto y compañ</w:t>
      </w:r>
      <w:r w:rsidR="00281EB5">
        <w:rPr>
          <w:rFonts w:ascii="Arial" w:hAnsi="Arial"/>
          <w:b/>
          <w:snapToGrid w:val="0"/>
          <w:sz w:val="20"/>
          <w:lang w:eastAsia="de-DE"/>
        </w:rPr>
        <w:t>í</w:t>
      </w:r>
      <w:r w:rsidR="00AC0A79">
        <w:rPr>
          <w:rFonts w:ascii="Arial" w:hAnsi="Arial"/>
          <w:b/>
          <w:snapToGrid w:val="0"/>
          <w:sz w:val="20"/>
          <w:lang w:eastAsia="de-DE"/>
        </w:rPr>
        <w:t>a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4C5D93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 xml:space="preserve">FRUTTORO </w:t>
      </w:r>
      <w:r w:rsidR="00AC0A79">
        <w:rPr>
          <w:rFonts w:ascii="Arial" w:hAnsi="Arial"/>
          <w:b/>
          <w:snapToGrid w:val="0"/>
          <w:sz w:val="20"/>
          <w:lang w:eastAsia="de-DE"/>
        </w:rPr>
        <w:t xml:space="preserve">NPK </w:t>
      </w:r>
      <w:r>
        <w:rPr>
          <w:rFonts w:ascii="Arial" w:hAnsi="Arial"/>
          <w:b/>
          <w:snapToGrid w:val="0"/>
          <w:sz w:val="20"/>
          <w:lang w:eastAsia="de-DE"/>
        </w:rPr>
        <w:t>7</w:t>
      </w:r>
      <w:r w:rsidR="00AC0A79">
        <w:rPr>
          <w:rFonts w:ascii="Arial" w:hAnsi="Arial"/>
          <w:b/>
          <w:snapToGrid w:val="0"/>
          <w:sz w:val="20"/>
          <w:lang w:eastAsia="de-DE"/>
        </w:rPr>
        <w:t>-1</w:t>
      </w:r>
      <w:r>
        <w:rPr>
          <w:rFonts w:ascii="Arial" w:hAnsi="Arial"/>
          <w:b/>
          <w:snapToGrid w:val="0"/>
          <w:sz w:val="20"/>
          <w:lang w:eastAsia="de-DE"/>
        </w:rPr>
        <w:t>5</w:t>
      </w:r>
      <w:r w:rsidR="00AC0A79">
        <w:rPr>
          <w:rFonts w:ascii="Arial" w:hAnsi="Arial"/>
          <w:b/>
          <w:snapToGrid w:val="0"/>
          <w:sz w:val="20"/>
          <w:lang w:eastAsia="de-DE"/>
        </w:rPr>
        <w:t>-</w:t>
      </w:r>
      <w:r>
        <w:rPr>
          <w:rFonts w:ascii="Arial" w:hAnsi="Arial"/>
          <w:b/>
          <w:snapToGrid w:val="0"/>
          <w:sz w:val="20"/>
          <w:lang w:eastAsia="de-DE"/>
        </w:rPr>
        <w:t>20</w:t>
      </w:r>
    </w:p>
    <w:p w:rsidR="00281EB5" w:rsidRDefault="00281EB5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281EB5" w:rsidP="006669FB">
      <w:pPr>
        <w:pStyle w:val="MSDS-TZeile"/>
        <w:keepLines/>
        <w:widowControl/>
        <w:tabs>
          <w:tab w:val="left" w:pos="3048"/>
          <w:tab w:val="left" w:pos="3388"/>
          <w:tab w:val="left" w:pos="9143"/>
        </w:tabs>
        <w:rPr>
          <w:rFonts w:ascii="Arial" w:hAnsi="Arial"/>
          <w:b/>
          <w:snapToGrid w:val="0"/>
        </w:rPr>
      </w:pPr>
      <w:r>
        <w:rPr>
          <w:rFonts w:ascii="Arial" w:hAnsi="Arial"/>
          <w:b/>
          <w:snapToGrid w:val="0"/>
        </w:rPr>
        <w:t>Fabricante:</w:t>
      </w:r>
    </w:p>
    <w:p w:rsidR="00AC0A79" w:rsidRPr="007B29E0" w:rsidRDefault="00AC0A79" w:rsidP="00AC0A79">
      <w:pPr>
        <w:rPr>
          <w:rFonts w:ascii="Arial" w:hAnsi="Arial" w:cs="Arial"/>
          <w:sz w:val="22"/>
          <w:szCs w:val="22"/>
          <w:lang w:val="es-MX"/>
        </w:rPr>
      </w:pPr>
      <w:r w:rsidRPr="007B29E0">
        <w:rPr>
          <w:rFonts w:ascii="Arial" w:hAnsi="Arial" w:cs="Arial"/>
          <w:sz w:val="22"/>
          <w:szCs w:val="22"/>
          <w:lang w:val="es-MX"/>
        </w:rPr>
        <w:t>PUCCIONI S.p.</w:t>
      </w:r>
      <w:r w:rsidR="00966791" w:rsidRPr="007B29E0">
        <w:rPr>
          <w:rFonts w:ascii="Arial" w:hAnsi="Arial" w:cs="Arial"/>
          <w:sz w:val="22"/>
          <w:szCs w:val="22"/>
          <w:lang w:val="es-MX"/>
        </w:rPr>
        <w:t>A</w:t>
      </w:r>
      <w:r w:rsidRPr="007B29E0">
        <w:rPr>
          <w:rFonts w:ascii="Arial" w:hAnsi="Arial" w:cs="Arial"/>
          <w:sz w:val="22"/>
          <w:szCs w:val="22"/>
          <w:lang w:val="es-MX"/>
        </w:rPr>
        <w:t>.</w:t>
      </w:r>
    </w:p>
    <w:p w:rsidR="00AC0A79" w:rsidRPr="007B29E0" w:rsidRDefault="00AC0A79" w:rsidP="00AC0A79">
      <w:pPr>
        <w:rPr>
          <w:rFonts w:ascii="Arial" w:hAnsi="Arial" w:cs="Arial"/>
          <w:sz w:val="22"/>
          <w:szCs w:val="22"/>
          <w:lang w:val="es-MX"/>
        </w:rPr>
      </w:pPr>
      <w:r w:rsidRPr="007B29E0">
        <w:rPr>
          <w:rFonts w:ascii="Arial" w:hAnsi="Arial" w:cs="Arial"/>
          <w:sz w:val="22"/>
          <w:szCs w:val="22"/>
          <w:lang w:val="es-MX"/>
        </w:rPr>
        <w:t>1-66054 Vasto (CH) Italia</w:t>
      </w:r>
    </w:p>
    <w:p w:rsidR="00AC0A79" w:rsidRPr="007B29E0" w:rsidRDefault="00966791" w:rsidP="00AC0A7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B29E0">
        <w:rPr>
          <w:rFonts w:ascii="Arial" w:hAnsi="Arial" w:cs="Arial"/>
          <w:sz w:val="22"/>
          <w:szCs w:val="22"/>
          <w:lang w:val="es-MX"/>
        </w:rPr>
        <w:t>Ví</w:t>
      </w:r>
      <w:r w:rsidR="00AC0A79" w:rsidRPr="007B29E0">
        <w:rPr>
          <w:rFonts w:ascii="Arial" w:hAnsi="Arial" w:cs="Arial"/>
          <w:sz w:val="22"/>
          <w:szCs w:val="22"/>
          <w:lang w:val="es-MX"/>
        </w:rPr>
        <w:t>a Osca, 89</w:t>
      </w:r>
    </w:p>
    <w:p w:rsidR="00966791" w:rsidRPr="007B29E0" w:rsidRDefault="00966791" w:rsidP="00AC0A79">
      <w:pPr>
        <w:jc w:val="both"/>
        <w:rPr>
          <w:rFonts w:ascii="Arial" w:hAnsi="Arial" w:cs="Arial"/>
          <w:sz w:val="22"/>
          <w:szCs w:val="22"/>
          <w:lang w:val="es-MX"/>
        </w:rPr>
      </w:pPr>
      <w:r w:rsidRPr="007B29E0">
        <w:rPr>
          <w:rFonts w:ascii="Arial" w:hAnsi="Arial" w:cs="Arial"/>
          <w:sz w:val="22"/>
          <w:szCs w:val="22"/>
          <w:lang w:val="es-MX"/>
        </w:rPr>
        <w:t>66054 Vasto (CH)</w:t>
      </w:r>
    </w:p>
    <w:p w:rsidR="00281EB5" w:rsidRPr="007B29E0" w:rsidRDefault="00AC0A79" w:rsidP="006669FB">
      <w:pPr>
        <w:widowControl w:val="0"/>
        <w:rPr>
          <w:rFonts w:ascii="Arial" w:hAnsi="Arial" w:cs="Arial"/>
          <w:sz w:val="22"/>
          <w:szCs w:val="22"/>
          <w:lang w:val="es-MX"/>
        </w:rPr>
      </w:pPr>
      <w:r w:rsidRPr="007B29E0">
        <w:rPr>
          <w:rFonts w:ascii="Arial" w:hAnsi="Arial" w:cs="Arial"/>
          <w:snapToGrid w:val="0"/>
          <w:sz w:val="22"/>
          <w:szCs w:val="22"/>
          <w:lang w:eastAsia="de-DE"/>
        </w:rPr>
        <w:t xml:space="preserve">Tel: </w:t>
      </w:r>
      <w:r w:rsidRPr="007B29E0">
        <w:rPr>
          <w:rFonts w:ascii="Arial" w:hAnsi="Arial" w:cs="Arial"/>
          <w:sz w:val="22"/>
          <w:szCs w:val="22"/>
          <w:lang w:val="es-MX"/>
        </w:rPr>
        <w:t>+39 0873 3121</w:t>
      </w:r>
    </w:p>
    <w:p w:rsidR="007B29E0" w:rsidRDefault="007B29E0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281EB5" w:rsidRPr="007B29E0" w:rsidRDefault="00281EB5" w:rsidP="006669FB">
      <w:pPr>
        <w:widowControl w:val="0"/>
        <w:rPr>
          <w:rFonts w:ascii="Arial" w:hAnsi="Arial"/>
          <w:b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b/>
          <w:snapToGrid w:val="0"/>
          <w:sz w:val="22"/>
          <w:szCs w:val="22"/>
          <w:lang w:eastAsia="de-DE"/>
        </w:rPr>
        <w:t>Distribuidor:</w:t>
      </w:r>
    </w:p>
    <w:p w:rsidR="00281EB5" w:rsidRPr="007B29E0" w:rsidRDefault="00281EB5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AGRICOLA AGRIAL S.A.</w:t>
      </w:r>
    </w:p>
    <w:p w:rsidR="00281EB5" w:rsidRPr="007B29E0" w:rsidRDefault="00281EB5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3,5 kms oe</w:t>
      </w:r>
      <w:r w:rsidR="00966791" w:rsidRPr="007B29E0">
        <w:rPr>
          <w:rFonts w:ascii="Arial" w:hAnsi="Arial"/>
          <w:snapToGrid w:val="0"/>
          <w:sz w:val="22"/>
          <w:szCs w:val="22"/>
          <w:lang w:eastAsia="de-DE"/>
        </w:rPr>
        <w:t>ste de Aeropuerto Juan Santamarí</w:t>
      </w:r>
      <w:r w:rsidRPr="007B29E0">
        <w:rPr>
          <w:rFonts w:ascii="Arial" w:hAnsi="Arial"/>
          <w:snapToGrid w:val="0"/>
          <w:sz w:val="22"/>
          <w:szCs w:val="22"/>
          <w:lang w:eastAsia="de-DE"/>
        </w:rPr>
        <w:t>a, sobre carretera Bernardo Soto</w:t>
      </w:r>
    </w:p>
    <w:p w:rsidR="00281EB5" w:rsidRPr="007B29E0" w:rsidRDefault="00281EB5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Tel: +506 2 431 3635</w:t>
      </w:r>
    </w:p>
    <w:p w:rsidR="00281EB5" w:rsidRPr="007B29E0" w:rsidRDefault="00281EB5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Fax +506 2 431 4137</w:t>
      </w:r>
    </w:p>
    <w:p w:rsidR="00281EB5" w:rsidRPr="007B29E0" w:rsidRDefault="00281EB5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</w:p>
    <w:p w:rsidR="006669FB" w:rsidRPr="007B29E0" w:rsidRDefault="006669FB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Información en caso de urgencia:</w:t>
      </w:r>
    </w:p>
    <w:p w:rsidR="006669FB" w:rsidRPr="007B29E0" w:rsidRDefault="00AC0A79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>Centro Nacional de Intoxicaciones</w:t>
      </w:r>
      <w:r w:rsidR="00966791" w:rsidRPr="007B29E0">
        <w:rPr>
          <w:rFonts w:ascii="Arial" w:hAnsi="Arial"/>
          <w:snapToGrid w:val="0"/>
          <w:sz w:val="22"/>
          <w:szCs w:val="22"/>
          <w:lang w:eastAsia="de-DE"/>
        </w:rPr>
        <w:t>:</w:t>
      </w:r>
    </w:p>
    <w:p w:rsidR="006669FB" w:rsidRPr="007B29E0" w:rsidRDefault="006669FB" w:rsidP="006669FB">
      <w:pPr>
        <w:widowControl w:val="0"/>
        <w:rPr>
          <w:rFonts w:ascii="Arial" w:hAnsi="Arial"/>
          <w:snapToGrid w:val="0"/>
          <w:sz w:val="22"/>
          <w:szCs w:val="22"/>
          <w:lang w:eastAsia="de-DE"/>
        </w:rPr>
      </w:pPr>
      <w:r w:rsidRPr="007B29E0">
        <w:rPr>
          <w:rFonts w:ascii="Arial" w:hAnsi="Arial"/>
          <w:snapToGrid w:val="0"/>
          <w:sz w:val="22"/>
          <w:szCs w:val="22"/>
          <w:lang w:eastAsia="de-DE"/>
        </w:rPr>
        <w:t xml:space="preserve">Tel.: </w:t>
      </w:r>
      <w:r w:rsidR="00966791" w:rsidRPr="007B29E0">
        <w:rPr>
          <w:rFonts w:ascii="Arial" w:hAnsi="Arial"/>
          <w:snapToGrid w:val="0"/>
          <w:sz w:val="22"/>
          <w:szCs w:val="22"/>
          <w:lang w:eastAsia="de-DE"/>
        </w:rPr>
        <w:t>2 223 1028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Composición/Indicaciones de los componentes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 w:cs="Arial"/>
          <w:snapToGrid w:val="0"/>
          <w:sz w:val="20"/>
          <w:lang w:eastAsia="de-DE"/>
        </w:rPr>
      </w:pPr>
      <w:r>
        <w:rPr>
          <w:rFonts w:ascii="Arial" w:hAnsi="Arial" w:cs="Arial"/>
          <w:snapToGrid w:val="0"/>
          <w:sz w:val="20"/>
          <w:lang w:eastAsia="de-DE"/>
        </w:rPr>
        <w:t>Descripción Química</w:t>
      </w:r>
    </w:p>
    <w:p w:rsidR="006669FB" w:rsidRDefault="006669FB" w:rsidP="006669FB">
      <w:pPr>
        <w:widowControl w:val="0"/>
        <w:jc w:val="both"/>
        <w:rPr>
          <w:rFonts w:ascii="Arial" w:hAnsi="Arial" w:cs="Arial"/>
          <w:snapToGrid w:val="0"/>
          <w:sz w:val="20"/>
          <w:lang w:eastAsia="de-DE"/>
        </w:rPr>
      </w:pPr>
      <w:r>
        <w:rPr>
          <w:rFonts w:ascii="Arial" w:hAnsi="Arial" w:cs="Arial"/>
          <w:snapToGrid w:val="0"/>
          <w:sz w:val="20"/>
          <w:lang w:eastAsia="de-DE"/>
        </w:rPr>
        <w:t xml:space="preserve">NPK - fertilizante granulado contiene: </w:t>
      </w:r>
      <w:r w:rsidR="007F50D7">
        <w:rPr>
          <w:rFonts w:ascii="Arial" w:hAnsi="Arial" w:cs="Arial"/>
          <w:snapToGrid w:val="0"/>
          <w:sz w:val="20"/>
          <w:lang w:eastAsia="de-DE"/>
        </w:rPr>
        <w:t>Nitrógeno orgá</w:t>
      </w:r>
      <w:r w:rsidR="00AC0A79">
        <w:rPr>
          <w:rFonts w:ascii="Arial" w:hAnsi="Arial" w:cs="Arial"/>
          <w:snapToGrid w:val="0"/>
          <w:sz w:val="20"/>
          <w:lang w:eastAsia="de-DE"/>
        </w:rPr>
        <w:t xml:space="preserve">nico, </w:t>
      </w:r>
      <w:r w:rsidR="007B29E0">
        <w:rPr>
          <w:rFonts w:ascii="Arial" w:hAnsi="Arial" w:cs="Arial"/>
          <w:snapToGrid w:val="0"/>
          <w:sz w:val="20"/>
          <w:lang w:eastAsia="de-DE"/>
        </w:rPr>
        <w:t>amoniacal</w:t>
      </w:r>
      <w:r w:rsidR="00AC0A79">
        <w:rPr>
          <w:rFonts w:ascii="Arial" w:hAnsi="Arial" w:cs="Arial"/>
          <w:snapToGrid w:val="0"/>
          <w:sz w:val="20"/>
          <w:lang w:eastAsia="de-DE"/>
        </w:rPr>
        <w:t xml:space="preserve"> y ureico</w:t>
      </w:r>
      <w:r>
        <w:rPr>
          <w:rFonts w:ascii="Arial" w:hAnsi="Arial" w:cs="Arial"/>
          <w:snapToGrid w:val="0"/>
          <w:sz w:val="20"/>
          <w:lang w:eastAsia="de-DE"/>
        </w:rPr>
        <w:t xml:space="preserve">, </w:t>
      </w:r>
      <w:r w:rsidR="00AC0A79">
        <w:rPr>
          <w:rFonts w:ascii="Arial" w:hAnsi="Arial" w:cs="Arial"/>
          <w:snapToGrid w:val="0"/>
          <w:sz w:val="20"/>
          <w:lang w:eastAsia="de-DE"/>
        </w:rPr>
        <w:t>pent</w:t>
      </w:r>
      <w:r w:rsidR="007B29E0">
        <w:rPr>
          <w:rFonts w:ascii="Arial" w:hAnsi="Arial" w:cs="Arial"/>
          <w:snapToGrid w:val="0"/>
          <w:sz w:val="20"/>
          <w:lang w:eastAsia="de-DE"/>
        </w:rPr>
        <w:t>ó</w:t>
      </w:r>
      <w:r w:rsidR="00281EB5">
        <w:rPr>
          <w:rFonts w:ascii="Arial" w:hAnsi="Arial" w:cs="Arial"/>
          <w:snapToGrid w:val="0"/>
          <w:sz w:val="20"/>
          <w:lang w:eastAsia="de-DE"/>
        </w:rPr>
        <w:t>x</w:t>
      </w:r>
      <w:r w:rsidR="00AC0A79">
        <w:rPr>
          <w:rFonts w:ascii="Arial" w:hAnsi="Arial" w:cs="Arial"/>
          <w:snapToGrid w:val="0"/>
          <w:sz w:val="20"/>
          <w:lang w:eastAsia="de-DE"/>
        </w:rPr>
        <w:t>ido de fosforo</w:t>
      </w:r>
      <w:r>
        <w:rPr>
          <w:rFonts w:ascii="Arial" w:hAnsi="Arial" w:cs="Arial"/>
          <w:snapToGrid w:val="0"/>
          <w:sz w:val="20"/>
          <w:lang w:eastAsia="de-DE"/>
        </w:rPr>
        <w:t>,</w:t>
      </w:r>
      <w:r w:rsidR="00966791">
        <w:rPr>
          <w:rFonts w:ascii="Arial" w:hAnsi="Arial" w:cs="Arial"/>
          <w:snapToGrid w:val="0"/>
          <w:sz w:val="20"/>
          <w:lang w:eastAsia="de-DE"/>
        </w:rPr>
        <w:t xml:space="preserve"> ó</w:t>
      </w:r>
      <w:r w:rsidR="00AC0A79">
        <w:rPr>
          <w:rFonts w:ascii="Arial" w:hAnsi="Arial" w:cs="Arial"/>
          <w:snapToGrid w:val="0"/>
          <w:sz w:val="20"/>
          <w:lang w:eastAsia="de-DE"/>
        </w:rPr>
        <w:t xml:space="preserve">xidos </w:t>
      </w:r>
      <w:r w:rsidR="00281EB5">
        <w:rPr>
          <w:rFonts w:ascii="Arial" w:hAnsi="Arial" w:cs="Arial"/>
          <w:snapToGrid w:val="0"/>
          <w:sz w:val="20"/>
          <w:lang w:eastAsia="de-DE"/>
        </w:rPr>
        <w:t>de</w:t>
      </w:r>
      <w:r w:rsidR="00AC0A79">
        <w:rPr>
          <w:rFonts w:ascii="Arial" w:hAnsi="Arial" w:cs="Arial"/>
          <w:snapToGrid w:val="0"/>
          <w:sz w:val="20"/>
          <w:lang w:eastAsia="de-DE"/>
        </w:rPr>
        <w:t xml:space="preserve"> potasio, </w:t>
      </w:r>
      <w:r w:rsidR="000D3D85">
        <w:rPr>
          <w:rFonts w:ascii="Arial" w:hAnsi="Arial" w:cs="Arial"/>
          <w:snapToGrid w:val="0"/>
          <w:sz w:val="20"/>
          <w:lang w:eastAsia="de-DE"/>
        </w:rPr>
        <w:t>Calcio</w:t>
      </w:r>
      <w:r w:rsidR="00AC0A79">
        <w:rPr>
          <w:rFonts w:ascii="Arial" w:hAnsi="Arial" w:cs="Arial"/>
          <w:snapToGrid w:val="0"/>
          <w:sz w:val="20"/>
          <w:lang w:eastAsia="de-DE"/>
        </w:rPr>
        <w:t xml:space="preserve">, </w:t>
      </w:r>
      <w:r w:rsidR="000D3D85">
        <w:rPr>
          <w:rFonts w:ascii="Arial" w:hAnsi="Arial" w:cs="Arial"/>
          <w:snapToGrid w:val="0"/>
          <w:sz w:val="20"/>
          <w:lang w:eastAsia="de-DE"/>
        </w:rPr>
        <w:t xml:space="preserve">hierro, azufre en forma anhidrica, </w:t>
      </w:r>
      <w:r w:rsidR="00281EB5">
        <w:rPr>
          <w:rFonts w:ascii="Arial" w:hAnsi="Arial" w:cs="Arial"/>
          <w:snapToGrid w:val="0"/>
          <w:sz w:val="20"/>
          <w:lang w:eastAsia="de-DE"/>
        </w:rPr>
        <w:t>carbón org</w:t>
      </w:r>
      <w:r w:rsidR="007F50D7">
        <w:rPr>
          <w:rFonts w:ascii="Arial" w:hAnsi="Arial" w:cs="Arial"/>
          <w:snapToGrid w:val="0"/>
          <w:sz w:val="20"/>
          <w:lang w:eastAsia="de-DE"/>
        </w:rPr>
        <w:t>á</w:t>
      </w:r>
      <w:r w:rsidR="00966791">
        <w:rPr>
          <w:rFonts w:ascii="Arial" w:hAnsi="Arial" w:cs="Arial"/>
          <w:snapToGrid w:val="0"/>
          <w:sz w:val="20"/>
          <w:lang w:eastAsia="de-DE"/>
        </w:rPr>
        <w:t>nico.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B29E0">
      <w:pPr>
        <w:widowControl w:val="0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Posibles peligros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7B29E0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Indicaciones especiales de peligrosidad para el hombre y el medio ambiente: </w:t>
      </w:r>
      <w:r w:rsidR="007B29E0">
        <w:rPr>
          <w:rFonts w:ascii="Arial" w:hAnsi="Arial"/>
          <w:snapToGrid w:val="0"/>
          <w:sz w:val="20"/>
          <w:lang w:eastAsia="de-DE"/>
        </w:rPr>
        <w:t>no aplican.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 xml:space="preserve">4. </w:t>
      </w:r>
      <w:r w:rsidRPr="007F50D7">
        <w:rPr>
          <w:rFonts w:ascii="Arial" w:hAnsi="Arial"/>
          <w:b/>
          <w:snapToGrid w:val="0"/>
          <w:sz w:val="20"/>
          <w:bdr w:val="single" w:sz="4" w:space="0" w:color="auto"/>
          <w:lang w:eastAsia="de-DE"/>
        </w:rPr>
        <w:t>Medidas de primeros auxilios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Tras inhalación de productos de descomposición: Reposo, respirar aire fresco, buscar ayuda médica. En caso de peligro de pérdida de conocimiento colocar y transportar en posición lateral estable; en caso necesario aplicar respiración artificial. 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Tras contacto con la piel: Lavar con agua y jabón.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Tras contacto con los ojos: Lavar abundantemente bajo agua corriente durante 15 minutos y con los párpados abiertos.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Tras ingestión: Lavar inmediatamente la boca y beber posteriormente abundante agua, buscar ayuda médica.</w:t>
      </w:r>
    </w:p>
    <w:p w:rsidR="007B29E0" w:rsidRDefault="007B29E0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</w:p>
    <w:p w:rsidR="007B29E0" w:rsidRDefault="007B29E0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</w:p>
    <w:p w:rsidR="007B29E0" w:rsidRDefault="007B29E0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</w:p>
    <w:p w:rsidR="00281EB5" w:rsidRDefault="00281EB5" w:rsidP="006669FB">
      <w:pPr>
        <w:widowControl w:val="0"/>
        <w:jc w:val="right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lastRenderedPageBreak/>
        <w:t>Medidas de protección para la extinción de incendios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Medios de extinción adecuados: En caso de incendio próximo: agua, agua pulverizada, medios de extinción en seco. Durante la manipulación de producto en descomposición: agua.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Medios de extinción no adecuados por motivos de seguridad: Durante la manipulación de producto en descomposición: ninguno espuma, dióxido de carbono (CO2), polvo, arena.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Riesgos especiales producidos por la sustancia, sus compuestos de combustión o por los gases que se desprenden: Posible descomposición a temperaturas superiores a 130 ’C. Productos de descomposición térmica: óxidos de nitrógeno, amoníaco.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Vestimenta de protección especial: En caso necesario equipo de respiración autónomo.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Información adicional: Susceptible de descomposición térmica progresiva autónoma = no corresponde.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Eliminar los restos del incendio y el agua de extinción contaminada respetando las legislaciones locales vigentes.</w:t>
      </w:r>
    </w:p>
    <w:p w:rsidR="006669FB" w:rsidRDefault="006669FB" w:rsidP="006669FB">
      <w:pPr>
        <w:widowControl w:val="0"/>
        <w:rPr>
          <w:rFonts w:ascii="Arial" w:hAnsi="Arial"/>
          <w:snapToGrid w:val="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Medidas a tomar en caso de vertido accidental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DA2A35" w:rsidRDefault="00DA2A35" w:rsidP="00DA2A35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Medidas de protección para las personas: normalmente no es necesario, si se requiere equipo de respiración segura, guantes, camisa manga larga y pantalón largo, anteojos de seguridad.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Medidas de protección para el medio ambiente: No dejar que el producto entre en el sistema de alcantarillado. Lavar pequeñas cantidades con agua. Eliminar el agua utilizada según las prescripciones locales vigentes.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Método para la limpieza/recogida: Utilícese equipo mecánico de manipulación. Hay que observar: (véase la sección 10,13).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Manipulación y almacenamiento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Manipulación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Indicaciones para manipular con seguridad: Proteger contra la contaminación. (véase la sección 10).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Almacenamiento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Requerimientos en almacenes y recipientes: No debe exponerse al calor. Protéjase de fuentes de ignición. No fumar. Manténgase lejos de materias combustibles. Proteger contra la contaminación. En caso de almacenamiento a granel no mezclar con otros abonos. Proteger de la humedad. </w:t>
      </w:r>
      <w:r w:rsidR="007B29E0">
        <w:rPr>
          <w:rFonts w:ascii="Arial" w:hAnsi="Arial"/>
          <w:snapToGrid w:val="0"/>
          <w:sz w:val="20"/>
          <w:lang w:eastAsia="de-DE"/>
        </w:rPr>
        <w:t>(El</w:t>
      </w:r>
      <w:r>
        <w:rPr>
          <w:rFonts w:ascii="Arial" w:hAnsi="Arial"/>
          <w:snapToGrid w:val="0"/>
          <w:sz w:val="20"/>
          <w:lang w:eastAsia="de-DE"/>
        </w:rPr>
        <w:t xml:space="preserve"> producto es higroscópico, posible </w:t>
      </w:r>
      <w:r w:rsidR="007B29E0">
        <w:rPr>
          <w:rFonts w:ascii="Arial" w:hAnsi="Arial"/>
          <w:snapToGrid w:val="0"/>
          <w:sz w:val="20"/>
          <w:lang w:eastAsia="de-DE"/>
        </w:rPr>
        <w:t>apelmazamiento)</w:t>
      </w:r>
      <w:r>
        <w:rPr>
          <w:rFonts w:ascii="Arial" w:hAnsi="Arial"/>
          <w:snapToGrid w:val="0"/>
          <w:sz w:val="20"/>
          <w:lang w:eastAsia="de-DE"/>
        </w:rPr>
        <w:t>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Indicaciones para el almacenamiento conjunto: Almacenar separado de otras sustancias.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Límites de exposición y equipamiento de protección personal</w:t>
      </w:r>
    </w:p>
    <w:p w:rsidR="006669FB" w:rsidRDefault="006669FB" w:rsidP="006669FB">
      <w:pPr>
        <w:widowControl w:val="0"/>
        <w:jc w:val="both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Indicaciones adicionales para la configuración de plantas técnicas: (véase la sección 7)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Componentes con valores límites controlables en el lugar de trabajo: Ninguna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Equipo de protección personal en caso de formación de polvo inhalable: mascarilla de protección </w:t>
      </w:r>
      <w:r w:rsidR="007B29E0">
        <w:rPr>
          <w:rFonts w:ascii="Arial" w:hAnsi="Arial"/>
          <w:snapToGrid w:val="0"/>
          <w:sz w:val="20"/>
          <w:lang w:eastAsia="de-DE"/>
        </w:rPr>
        <w:t>anti polvo</w:t>
      </w:r>
      <w:r>
        <w:rPr>
          <w:rFonts w:ascii="Arial" w:hAnsi="Arial"/>
          <w:snapToGrid w:val="0"/>
          <w:sz w:val="20"/>
          <w:lang w:eastAsia="de-DE"/>
        </w:rPr>
        <w:t>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Medidas generales de protección y de higiene: Lavar/limpiar la piel tras finalizar el trabajo.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Propiedades físico-químicas</w:t>
      </w:r>
    </w:p>
    <w:p w:rsidR="006669FB" w:rsidRDefault="006669FB" w:rsidP="006669FB">
      <w:pPr>
        <w:widowControl w:val="0"/>
        <w:rPr>
          <w:rFonts w:ascii="Arial" w:hAnsi="Arial"/>
          <w:b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| Estado físico: sólido</w:t>
      </w:r>
      <w:r w:rsidR="007F50D7">
        <w:rPr>
          <w:rFonts w:ascii="Arial" w:hAnsi="Arial"/>
          <w:snapToGrid w:val="0"/>
          <w:sz w:val="20"/>
          <w:lang w:eastAsia="de-DE"/>
        </w:rPr>
        <w:t>, granular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Color: </w:t>
      </w:r>
      <w:r w:rsidR="007F50D7">
        <w:rPr>
          <w:rFonts w:ascii="Arial" w:hAnsi="Arial"/>
          <w:snapToGrid w:val="0"/>
          <w:sz w:val="20"/>
          <w:lang w:eastAsia="de-DE"/>
        </w:rPr>
        <w:t>gris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Olor: Casi inodoro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Cambios de estado:</w:t>
      </w:r>
      <w:r w:rsidR="00281EB5">
        <w:rPr>
          <w:rFonts w:ascii="Arial" w:hAnsi="Arial"/>
          <w:snapToGrid w:val="0"/>
          <w:sz w:val="20"/>
          <w:lang w:eastAsia="de-DE"/>
        </w:rPr>
        <w:t xml:space="preserve"> no aplica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Descomposición: &gt;130 ’C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Punto de inflamación: No relevante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Riesgo de explosión: No corresponde: Método CE A14 (véase la sección 10)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Propiedades comburentes: No corresponde: Método CE A17 (véase la sección 10)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lastRenderedPageBreak/>
        <w:t>Peso específico: 900-1200 kg/m3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Solubilidad en agua: Mayoritariamente soluble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 Valor pH: aprox. </w:t>
      </w:r>
      <w:r w:rsidR="007F50D7">
        <w:rPr>
          <w:rFonts w:ascii="Arial" w:hAnsi="Arial"/>
          <w:snapToGrid w:val="0"/>
          <w:sz w:val="20"/>
          <w:lang w:eastAsia="de-DE"/>
        </w:rPr>
        <w:t>5</w:t>
      </w:r>
      <w:r>
        <w:rPr>
          <w:rFonts w:ascii="Arial" w:hAnsi="Arial"/>
          <w:snapToGrid w:val="0"/>
          <w:sz w:val="20"/>
          <w:lang w:eastAsia="de-DE"/>
        </w:rPr>
        <w:t>-6 (</w:t>
      </w:r>
      <w:r w:rsidR="007F50D7">
        <w:rPr>
          <w:rFonts w:ascii="Arial" w:hAnsi="Arial"/>
          <w:snapToGrid w:val="0"/>
          <w:sz w:val="20"/>
          <w:lang w:eastAsia="de-DE"/>
        </w:rPr>
        <w:t>1% solución</w:t>
      </w:r>
      <w:r>
        <w:rPr>
          <w:rFonts w:ascii="Arial" w:hAnsi="Arial"/>
          <w:snapToGrid w:val="0"/>
          <w:sz w:val="20"/>
          <w:lang w:eastAsia="de-DE"/>
        </w:rPr>
        <w:t>)</w:t>
      </w:r>
    </w:p>
    <w:p w:rsidR="00281EB5" w:rsidRDefault="00281EB5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Estabilidad y reactividad</w:t>
      </w:r>
    </w:p>
    <w:p w:rsidR="00281EB5" w:rsidRDefault="00281EB5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Condiciones a evitar: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Para evitar descomposición térmica, no recalentar. Posible descomposición a temperaturas superiores a 130 ’C. Producto susceptible de descomposición térmica progresiva autónoma = no corresponde.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Sustancias a evitar: Reacción peligrosa con sustancias que reaccionen de forma ácida o alcalina. Al mezclar con sustancias inflamables, sustancias oxidables: Riesgo de explosión al calentarlo en ambiente confinado.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Productos peligrosos de descomposición: Gases nitrosos (</w:t>
      </w:r>
      <w:r w:rsidR="007B29E0">
        <w:rPr>
          <w:rFonts w:ascii="Arial" w:hAnsi="Arial"/>
          <w:snapToGrid w:val="0"/>
          <w:sz w:val="20"/>
          <w:lang w:eastAsia="de-DE"/>
        </w:rPr>
        <w:t>óxidos</w:t>
      </w:r>
      <w:r>
        <w:rPr>
          <w:rFonts w:ascii="Arial" w:hAnsi="Arial"/>
          <w:snapToGrid w:val="0"/>
          <w:sz w:val="20"/>
          <w:lang w:eastAsia="de-DE"/>
        </w:rPr>
        <w:t xml:space="preserve"> de nitrógeno), amoníaco. Amoníaco en caso de acción de álcalis.</w:t>
      </w:r>
    </w:p>
    <w:p w:rsidR="006669FB" w:rsidRDefault="006669FB" w:rsidP="006669FB">
      <w:pPr>
        <w:pStyle w:val="Textonotapie"/>
        <w:widowControl w:val="0"/>
        <w:rPr>
          <w:rFonts w:ascii="Arial" w:hAnsi="Arial"/>
          <w:snapToGrid w:val="0"/>
          <w:szCs w:val="24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Indicaciones toxicológicas</w:t>
      </w:r>
    </w:p>
    <w:p w:rsidR="007F50D7" w:rsidRDefault="007F50D7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Producto no toxico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* El producto no ha sido ensayado. La valoración ha sido calculada a partir de las propiedades de sus componentes individuales.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Indicaciones ecológicas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Efectos </w:t>
      </w:r>
      <w:r w:rsidR="007B29E0">
        <w:rPr>
          <w:rFonts w:ascii="Arial" w:hAnsi="Arial"/>
          <w:snapToGrid w:val="0"/>
          <w:sz w:val="20"/>
          <w:lang w:eastAsia="de-DE"/>
        </w:rPr>
        <w:t>eco tóxicos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Plantas depuradoras: Durante un vertido en las plantas depuradoras biológicas según las necesidades locales y las concentraciones presentes pueden producirse alteraciones en la actividad del lodo activado. Durante un vertido en pequeñas concentraciones no son de esperar variaciones en la función del lodo activado de </w:t>
      </w:r>
      <w:r w:rsidR="007B29E0">
        <w:rPr>
          <w:rFonts w:ascii="Arial" w:hAnsi="Arial"/>
          <w:snapToGrid w:val="0"/>
          <w:sz w:val="20"/>
          <w:lang w:eastAsia="de-DE"/>
        </w:rPr>
        <w:t>una</w:t>
      </w:r>
      <w:r>
        <w:rPr>
          <w:rFonts w:ascii="Arial" w:hAnsi="Arial"/>
          <w:snapToGrid w:val="0"/>
          <w:sz w:val="20"/>
          <w:lang w:eastAsia="de-DE"/>
        </w:rPr>
        <w:t xml:space="preserve"> planta depuradora biológicamente </w:t>
      </w:r>
      <w:r w:rsidR="007B29E0">
        <w:rPr>
          <w:rFonts w:ascii="Arial" w:hAnsi="Arial"/>
          <w:snapToGrid w:val="0"/>
          <w:sz w:val="20"/>
          <w:lang w:eastAsia="de-DE"/>
        </w:rPr>
        <w:t>adaptadas</w:t>
      </w:r>
      <w:r>
        <w:rPr>
          <w:rFonts w:ascii="Arial" w:hAnsi="Arial"/>
          <w:snapToGrid w:val="0"/>
          <w:sz w:val="20"/>
          <w:lang w:eastAsia="de-DE"/>
        </w:rPr>
        <w:t>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Indicaciones para su eliminación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Producto: Ensayar la utilización en agricultura. Dirigirse al fabricante.</w:t>
      </w:r>
    </w:p>
    <w:p w:rsidR="006669FB" w:rsidRDefault="006669FB" w:rsidP="006669FB">
      <w:pPr>
        <w:widowControl w:val="0"/>
        <w:jc w:val="both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 xml:space="preserve">Envases contaminados: Embalajes contaminados pueden ser vaciados de forma óptima, tras un lavado correspondiente pueden </w:t>
      </w:r>
      <w:r w:rsidR="007B29E0">
        <w:rPr>
          <w:rFonts w:ascii="Arial" w:hAnsi="Arial"/>
          <w:snapToGrid w:val="0"/>
          <w:sz w:val="20"/>
          <w:lang w:eastAsia="de-DE"/>
        </w:rPr>
        <w:t>reutilizase</w:t>
      </w:r>
      <w:r>
        <w:rPr>
          <w:rFonts w:ascii="Arial" w:hAnsi="Arial"/>
          <w:snapToGrid w:val="0"/>
          <w:sz w:val="20"/>
          <w:lang w:eastAsia="de-DE"/>
        </w:rPr>
        <w:t>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Indicaciones para el transporte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Producto no peligroso según los criterios de la reglamentación del transporte.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6669FB" w:rsidRDefault="006669FB" w:rsidP="007F50D7">
      <w:pPr>
        <w:widowControl w:val="0"/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/>
          <w:b/>
          <w:snapToGrid w:val="0"/>
          <w:sz w:val="20"/>
          <w:lang w:eastAsia="de-DE"/>
        </w:rPr>
      </w:pPr>
      <w:r>
        <w:rPr>
          <w:rFonts w:ascii="Arial" w:hAnsi="Arial"/>
          <w:b/>
          <w:snapToGrid w:val="0"/>
          <w:sz w:val="20"/>
          <w:lang w:eastAsia="de-DE"/>
        </w:rPr>
        <w:t>Reglamentaciones</w:t>
      </w:r>
    </w:p>
    <w:p w:rsidR="007F50D7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Señalización según las Directivas de la CE</w:t>
      </w:r>
      <w:r w:rsidR="007F50D7">
        <w:rPr>
          <w:rFonts w:ascii="Arial" w:hAnsi="Arial"/>
          <w:snapToGrid w:val="0"/>
          <w:sz w:val="20"/>
          <w:lang w:eastAsia="de-DE"/>
        </w:rPr>
        <w:t xml:space="preserve"> Reg.</w:t>
      </w:r>
      <w:r>
        <w:rPr>
          <w:rFonts w:ascii="Arial" w:hAnsi="Arial"/>
          <w:snapToGrid w:val="0"/>
          <w:sz w:val="20"/>
          <w:lang w:eastAsia="de-DE"/>
        </w:rPr>
        <w:t xml:space="preserve"> </w:t>
      </w:r>
      <w:r w:rsidR="007F50D7">
        <w:rPr>
          <w:rFonts w:ascii="Arial" w:hAnsi="Arial"/>
          <w:snapToGrid w:val="0"/>
          <w:sz w:val="20"/>
          <w:lang w:eastAsia="de-DE"/>
        </w:rPr>
        <w:t xml:space="preserve"> 2003/2003 y leyes italianas D.Lgs 217/06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  <w:r>
        <w:rPr>
          <w:rFonts w:ascii="Arial" w:hAnsi="Arial"/>
          <w:snapToGrid w:val="0"/>
          <w:sz w:val="20"/>
          <w:lang w:eastAsia="de-DE"/>
        </w:rPr>
        <w:t>Reglamentaciones nacionales</w:t>
      </w:r>
      <w:r w:rsidR="007F50D7">
        <w:rPr>
          <w:rFonts w:ascii="Arial" w:hAnsi="Arial"/>
          <w:snapToGrid w:val="0"/>
          <w:sz w:val="20"/>
          <w:lang w:eastAsia="de-DE"/>
        </w:rPr>
        <w:t>: ajustarse a las reglamentaciones particulares de cada país.</w:t>
      </w:r>
    </w:p>
    <w:p w:rsidR="006669FB" w:rsidRDefault="006669FB" w:rsidP="006669FB">
      <w:pPr>
        <w:widowControl w:val="0"/>
        <w:rPr>
          <w:rFonts w:ascii="Arial" w:hAnsi="Arial"/>
          <w:snapToGrid w:val="0"/>
          <w:sz w:val="20"/>
          <w:lang w:eastAsia="de-DE"/>
        </w:rPr>
      </w:pPr>
    </w:p>
    <w:p w:rsidR="007F50D7" w:rsidRDefault="007F50D7" w:rsidP="007F50D7">
      <w:pPr>
        <w:rPr>
          <w:rFonts w:ascii="Arial" w:hAnsi="Arial" w:cs="Arial"/>
          <w:sz w:val="20"/>
          <w:szCs w:val="20"/>
          <w:lang w:val="es-MX"/>
        </w:rPr>
      </w:pPr>
      <w:r w:rsidRPr="007F50D7">
        <w:rPr>
          <w:rFonts w:ascii="Arial" w:hAnsi="Arial" w:cs="Arial"/>
          <w:sz w:val="20"/>
          <w:szCs w:val="20"/>
          <w:lang w:val="es-MX"/>
        </w:rPr>
        <w:t xml:space="preserve">Nota: La información en esta Hoja de  Seguridad es dada de buena fe y creencia en la certeza basada en nuestro conocimiento de la substancia/ y preparación. No implica la aceptación de ninguna responsabilidad legal de ninguna forma para la </w:t>
      </w:r>
      <w:r w:rsidR="00966791">
        <w:rPr>
          <w:rFonts w:ascii="Arial" w:hAnsi="Arial" w:cs="Arial"/>
          <w:sz w:val="20"/>
          <w:szCs w:val="20"/>
          <w:lang w:val="es-MX"/>
        </w:rPr>
        <w:t>Compañía por las consecuencias d</w:t>
      </w:r>
      <w:r w:rsidRPr="007F50D7">
        <w:rPr>
          <w:rFonts w:ascii="Arial" w:hAnsi="Arial" w:cs="Arial"/>
          <w:sz w:val="20"/>
          <w:szCs w:val="20"/>
          <w:lang w:val="es-MX"/>
        </w:rPr>
        <w:t xml:space="preserve"> su uso o uso erróneo en circunstancias particulares</w:t>
      </w:r>
      <w:r w:rsidR="00966791">
        <w:rPr>
          <w:rFonts w:ascii="Arial" w:hAnsi="Arial" w:cs="Arial"/>
          <w:sz w:val="20"/>
          <w:szCs w:val="20"/>
          <w:lang w:val="es-MX"/>
        </w:rPr>
        <w:t>.</w:t>
      </w:r>
    </w:p>
    <w:p w:rsidR="00966791" w:rsidRDefault="00966791" w:rsidP="007F50D7">
      <w:pPr>
        <w:rPr>
          <w:rFonts w:ascii="Arial" w:hAnsi="Arial" w:cs="Arial"/>
          <w:sz w:val="20"/>
          <w:szCs w:val="20"/>
          <w:lang w:val="es-MX"/>
        </w:rPr>
      </w:pPr>
    </w:p>
    <w:p w:rsidR="00966791" w:rsidRDefault="00966791" w:rsidP="007F50D7">
      <w:pPr>
        <w:rPr>
          <w:rFonts w:ascii="Arial" w:hAnsi="Arial" w:cs="Arial"/>
          <w:sz w:val="20"/>
          <w:szCs w:val="20"/>
          <w:lang w:val="es-MX"/>
        </w:rPr>
      </w:pPr>
    </w:p>
    <w:p w:rsidR="00966791" w:rsidRDefault="00966791" w:rsidP="007F50D7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PUCCIONI S.p.A.</w:t>
      </w:r>
    </w:p>
    <w:p w:rsidR="00966791" w:rsidRDefault="00966791" w:rsidP="007F50D7">
      <w:pPr>
        <w:rPr>
          <w:rFonts w:ascii="Arial" w:hAnsi="Arial" w:cs="Arial"/>
          <w:sz w:val="20"/>
          <w:szCs w:val="20"/>
          <w:lang w:val="es-MX"/>
        </w:rPr>
      </w:pPr>
      <w:r>
        <w:rPr>
          <w:rFonts w:ascii="Arial" w:hAnsi="Arial" w:cs="Arial"/>
          <w:sz w:val="20"/>
          <w:szCs w:val="20"/>
          <w:lang w:val="es-MX"/>
        </w:rPr>
        <w:t>Departamento Químico.</w:t>
      </w:r>
    </w:p>
    <w:p w:rsidR="00966791" w:rsidRDefault="00966791" w:rsidP="007F50D7">
      <w:pPr>
        <w:rPr>
          <w:rFonts w:ascii="Arial" w:hAnsi="Arial" w:cs="Arial"/>
          <w:sz w:val="20"/>
          <w:szCs w:val="20"/>
          <w:lang w:val="es-MX"/>
        </w:rPr>
      </w:pPr>
    </w:p>
    <w:p w:rsidR="00966791" w:rsidRPr="007F50D7" w:rsidRDefault="00966791" w:rsidP="007F50D7">
      <w:pPr>
        <w:rPr>
          <w:rFonts w:ascii="Arial" w:hAnsi="Arial" w:cs="Arial"/>
          <w:sz w:val="20"/>
          <w:szCs w:val="20"/>
          <w:lang w:val="es-MX"/>
        </w:rPr>
      </w:pPr>
    </w:p>
    <w:p w:rsidR="00D11FE0" w:rsidRDefault="00D11FE0" w:rsidP="007F50D7"/>
    <w:sectPr w:rsidR="00D11FE0" w:rsidSect="00D11FE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A42C5"/>
    <w:multiLevelType w:val="singleLevel"/>
    <w:tmpl w:val="AB8A4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53A066A5"/>
    <w:multiLevelType w:val="singleLevel"/>
    <w:tmpl w:val="7A62A00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669FB"/>
    <w:rsid w:val="000D3D85"/>
    <w:rsid w:val="00281EB5"/>
    <w:rsid w:val="004524D2"/>
    <w:rsid w:val="004C5D93"/>
    <w:rsid w:val="006669FB"/>
    <w:rsid w:val="007B29E0"/>
    <w:rsid w:val="007F50D7"/>
    <w:rsid w:val="00966791"/>
    <w:rsid w:val="009E715C"/>
    <w:rsid w:val="00AC0A79"/>
    <w:rsid w:val="00C405CB"/>
    <w:rsid w:val="00C43F3D"/>
    <w:rsid w:val="00C673ED"/>
    <w:rsid w:val="00D11FE0"/>
    <w:rsid w:val="00DA2A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9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sinformato">
    <w:name w:val="Plain Text"/>
    <w:basedOn w:val="Normal"/>
    <w:link w:val="TextosinformatoCar"/>
    <w:rsid w:val="006669FB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basedOn w:val="Fuentedeprrafopredeter"/>
    <w:link w:val="Textosinformato"/>
    <w:rsid w:val="006669FB"/>
    <w:rPr>
      <w:rFonts w:ascii="Courier New" w:eastAsia="Times New Roman" w:hAnsi="Courier New" w:cs="Courier New"/>
      <w:sz w:val="20"/>
      <w:szCs w:val="20"/>
      <w:lang w:val="es-ES" w:eastAsia="es-ES"/>
    </w:rPr>
  </w:style>
  <w:style w:type="paragraph" w:styleId="Textonotapie">
    <w:name w:val="footnote text"/>
    <w:basedOn w:val="Normal"/>
    <w:link w:val="TextonotapieCar"/>
    <w:semiHidden/>
    <w:rsid w:val="006669FB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semiHidden/>
    <w:rsid w:val="006669FB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customStyle="1" w:styleId="MSDS-TZeile">
    <w:name w:val="MSDS-TZeile"/>
    <w:basedOn w:val="Normal"/>
    <w:rsid w:val="006669FB"/>
    <w:pPr>
      <w:widowControl w:val="0"/>
    </w:pPr>
    <w:rPr>
      <w:sz w:val="20"/>
      <w:szCs w:val="20"/>
      <w:lang w:val="de-DE" w:eastAsia="de-DE"/>
    </w:rPr>
  </w:style>
  <w:style w:type="character" w:styleId="Nmerodepgina">
    <w:name w:val="page number"/>
    <w:basedOn w:val="Fuentedeprrafopredeter"/>
    <w:rsid w:val="006669FB"/>
  </w:style>
  <w:style w:type="paragraph" w:styleId="Textodeglobo">
    <w:name w:val="Balloon Text"/>
    <w:basedOn w:val="Normal"/>
    <w:link w:val="TextodegloboCar"/>
    <w:uiPriority w:val="99"/>
    <w:semiHidden/>
    <w:unhideWhenUsed/>
    <w:rsid w:val="004524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24D2"/>
    <w:rPr>
      <w:rFonts w:ascii="Tahoma" w:eastAsia="Times New Roman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1005</Words>
  <Characters>5533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Agricola Agrial</Company>
  <LinksUpToDate>false</LinksUpToDate>
  <CharactersWithSpaces>6525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Emora</dc:creator>
  <cp:keywords/>
  <dc:description/>
  <cp:lastModifiedBy>Emora</cp:lastModifiedBy>
  <cp:revision>3</cp:revision>
  <dcterms:created xsi:type="dcterms:W3CDTF">2010-04-09T15:21:00Z</dcterms:created>
  <dcterms:modified xsi:type="dcterms:W3CDTF">2010-04-09T16:29:00Z</dcterms:modified>
</cp:coreProperties>
</file>